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78" w:type="dxa"/>
        <w:jc w:val="center"/>
        <w:tblLayout w:type="fixed"/>
        <w:tblLook w:val="0000" w:firstRow="0" w:lastRow="0" w:firstColumn="0" w:lastColumn="0" w:noHBand="0" w:noVBand="0"/>
      </w:tblPr>
      <w:tblGrid>
        <w:gridCol w:w="3539"/>
        <w:gridCol w:w="1513"/>
        <w:gridCol w:w="1159"/>
        <w:gridCol w:w="2020"/>
        <w:gridCol w:w="1247"/>
      </w:tblGrid>
      <w:tr w:rsidR="00DC4EC7" w:rsidRPr="00986B56" w14:paraId="0224FE50"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45B31477" w14:textId="4959E6CE" w:rsidR="00DC4EC7" w:rsidRPr="00986B56" w:rsidRDefault="00986B56" w:rsidP="00297092">
            <w:pPr>
              <w:tabs>
                <w:tab w:val="left" w:pos="567"/>
              </w:tabs>
              <w:spacing w:after="60"/>
              <w:jc w:val="both"/>
              <w:rPr>
                <w:rFonts w:ascii="Times New Roman" w:hAnsi="Times New Roman"/>
                <w:b/>
                <w:bCs/>
                <w:sz w:val="20"/>
                <w:szCs w:val="20"/>
              </w:rPr>
            </w:pPr>
            <w:r w:rsidRPr="00986B56">
              <w:rPr>
                <w:rFonts w:ascii="Times New Roman" w:hAnsi="Times New Roman"/>
                <w:b/>
                <w:bCs/>
                <w:sz w:val="20"/>
                <w:szCs w:val="20"/>
              </w:rPr>
              <w:t xml:space="preserve">Study programme: </w:t>
            </w:r>
            <w:r w:rsidR="00EE3EB5" w:rsidRPr="00986B56">
              <w:rPr>
                <w:rFonts w:ascii="Times New Roman" w:hAnsi="Times New Roman"/>
                <w:sz w:val="20"/>
                <w:szCs w:val="20"/>
              </w:rPr>
              <w:t>Interdisciplinary Master’s Programme in South-Eastern European Studies</w:t>
            </w:r>
          </w:p>
        </w:tc>
      </w:tr>
      <w:tr w:rsidR="00DC4EC7" w:rsidRPr="00986B56" w14:paraId="1DFBBB9C"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603CF7CF" w14:textId="3B678574" w:rsidR="00DC4EC7" w:rsidRPr="00986B56" w:rsidRDefault="00986B56" w:rsidP="00297092">
            <w:pPr>
              <w:tabs>
                <w:tab w:val="left" w:pos="567"/>
              </w:tabs>
              <w:spacing w:after="60"/>
              <w:jc w:val="both"/>
              <w:rPr>
                <w:rFonts w:ascii="Times New Roman" w:hAnsi="Times New Roman"/>
                <w:sz w:val="20"/>
                <w:szCs w:val="20"/>
              </w:rPr>
            </w:pPr>
            <w:r w:rsidRPr="00986B56">
              <w:rPr>
                <w:rFonts w:ascii="Times New Roman" w:hAnsi="Times New Roman"/>
                <w:b/>
                <w:bCs/>
                <w:sz w:val="20"/>
                <w:szCs w:val="20"/>
              </w:rPr>
              <w:t xml:space="preserve">Name of the course </w:t>
            </w:r>
            <w:r w:rsidR="00EE3EB5" w:rsidRPr="00986B56">
              <w:rPr>
                <w:rFonts w:ascii="Times New Roman" w:hAnsi="Times New Roman"/>
                <w:sz w:val="20"/>
                <w:szCs w:val="20"/>
              </w:rPr>
              <w:t>E</w:t>
            </w:r>
            <w:r w:rsidR="008B7313">
              <w:rPr>
                <w:rFonts w:ascii="Times New Roman" w:hAnsi="Times New Roman"/>
                <w:sz w:val="20"/>
                <w:szCs w:val="20"/>
              </w:rPr>
              <w:t>uropean</w:t>
            </w:r>
            <w:r w:rsidR="00EE3EB5" w:rsidRPr="00986B56">
              <w:rPr>
                <w:rFonts w:ascii="Times New Roman" w:hAnsi="Times New Roman"/>
                <w:sz w:val="20"/>
                <w:szCs w:val="20"/>
              </w:rPr>
              <w:t xml:space="preserve"> Integration and Enlargement</w:t>
            </w:r>
          </w:p>
        </w:tc>
      </w:tr>
      <w:tr w:rsidR="00DC4EC7" w:rsidRPr="00986B56" w14:paraId="3F3BA80A"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5D59205E" w14:textId="310A3381" w:rsidR="00DC4EC7" w:rsidRPr="00986B56" w:rsidRDefault="00297092" w:rsidP="00297092">
            <w:pPr>
              <w:tabs>
                <w:tab w:val="left" w:pos="567"/>
              </w:tabs>
              <w:spacing w:after="60"/>
              <w:jc w:val="both"/>
              <w:rPr>
                <w:rFonts w:ascii="Times New Roman" w:hAnsi="Times New Roman"/>
                <w:sz w:val="20"/>
                <w:szCs w:val="20"/>
              </w:rPr>
            </w:pPr>
            <w:r w:rsidRPr="00341E07">
              <w:rPr>
                <w:rFonts w:ascii="Times New Roman" w:hAnsi="Times New Roman"/>
                <w:b/>
                <w:bCs/>
                <w:sz w:val="20"/>
                <w:szCs w:val="20"/>
                <w:lang w:val="en-US"/>
              </w:rPr>
              <w:t>Lecturer</w:t>
            </w:r>
            <w:r w:rsidR="00986B56" w:rsidRPr="00986B56">
              <w:rPr>
                <w:rFonts w:ascii="Times New Roman" w:hAnsi="Times New Roman"/>
                <w:b/>
                <w:bCs/>
                <w:sz w:val="20"/>
                <w:szCs w:val="20"/>
              </w:rPr>
              <w:t xml:space="preserve">: </w:t>
            </w:r>
            <w:r w:rsidR="007C7EEE">
              <w:rPr>
                <w:rFonts w:ascii="Times New Roman" w:hAnsi="Times New Roman"/>
                <w:sz w:val="20"/>
                <w:szCs w:val="20"/>
              </w:rPr>
              <w:t>P</w:t>
            </w:r>
            <w:r w:rsidR="00EE3EB5" w:rsidRPr="00986B56">
              <w:rPr>
                <w:rFonts w:ascii="Times New Roman" w:hAnsi="Times New Roman"/>
                <w:sz w:val="20"/>
                <w:szCs w:val="20"/>
              </w:rPr>
              <w:t xml:space="preserve">rof. </w:t>
            </w:r>
            <w:proofErr w:type="spellStart"/>
            <w:r w:rsidR="007C7EEE">
              <w:rPr>
                <w:rFonts w:ascii="Times New Roman" w:hAnsi="Times New Roman"/>
                <w:sz w:val="20"/>
                <w:szCs w:val="20"/>
              </w:rPr>
              <w:t>Dr.</w:t>
            </w:r>
            <w:proofErr w:type="spellEnd"/>
            <w:r w:rsidR="007C7EEE">
              <w:rPr>
                <w:rFonts w:ascii="Times New Roman" w:hAnsi="Times New Roman"/>
                <w:sz w:val="20"/>
                <w:szCs w:val="20"/>
              </w:rPr>
              <w:t xml:space="preserve"> </w:t>
            </w:r>
            <w:r w:rsidR="00EE3EB5" w:rsidRPr="00986B56">
              <w:rPr>
                <w:rFonts w:ascii="Times New Roman" w:hAnsi="Times New Roman"/>
                <w:sz w:val="20"/>
                <w:szCs w:val="20"/>
              </w:rPr>
              <w:t xml:space="preserve">Jovan </w:t>
            </w:r>
            <w:proofErr w:type="spellStart"/>
            <w:r w:rsidR="00EE3EB5" w:rsidRPr="00986B56">
              <w:rPr>
                <w:rFonts w:ascii="Times New Roman" w:hAnsi="Times New Roman"/>
                <w:sz w:val="20"/>
                <w:szCs w:val="20"/>
              </w:rPr>
              <w:t>Teokarević</w:t>
            </w:r>
            <w:proofErr w:type="spellEnd"/>
            <w:r w:rsidR="00EE3EB5" w:rsidRPr="00986B56">
              <w:rPr>
                <w:rFonts w:ascii="Times New Roman" w:hAnsi="Times New Roman"/>
                <w:sz w:val="20"/>
                <w:szCs w:val="20"/>
              </w:rPr>
              <w:t xml:space="preserve"> and assistant prof. </w:t>
            </w:r>
            <w:proofErr w:type="spellStart"/>
            <w:r w:rsidR="007C7EEE">
              <w:rPr>
                <w:rFonts w:ascii="Times New Roman" w:hAnsi="Times New Roman"/>
                <w:sz w:val="20"/>
                <w:szCs w:val="20"/>
              </w:rPr>
              <w:t>Dr.</w:t>
            </w:r>
            <w:proofErr w:type="spellEnd"/>
            <w:r w:rsidR="007C7EEE">
              <w:rPr>
                <w:rFonts w:ascii="Times New Roman" w:hAnsi="Times New Roman"/>
                <w:sz w:val="20"/>
                <w:szCs w:val="20"/>
              </w:rPr>
              <w:t xml:space="preserve"> </w:t>
            </w:r>
            <w:r w:rsidR="00EE3EB5" w:rsidRPr="00986B56">
              <w:rPr>
                <w:rFonts w:ascii="Times New Roman" w:hAnsi="Times New Roman"/>
                <w:sz w:val="20"/>
                <w:szCs w:val="20"/>
              </w:rPr>
              <w:t xml:space="preserve">Ivana </w:t>
            </w:r>
            <w:proofErr w:type="spellStart"/>
            <w:r w:rsidR="00EE3EB5" w:rsidRPr="00986B56">
              <w:rPr>
                <w:rFonts w:ascii="Times New Roman" w:hAnsi="Times New Roman"/>
                <w:sz w:val="20"/>
                <w:szCs w:val="20"/>
              </w:rPr>
              <w:t>Radić</w:t>
            </w:r>
            <w:proofErr w:type="spellEnd"/>
            <w:r w:rsidR="00EE3EB5" w:rsidRPr="00986B56">
              <w:rPr>
                <w:rFonts w:ascii="Times New Roman" w:hAnsi="Times New Roman"/>
                <w:sz w:val="20"/>
                <w:szCs w:val="20"/>
              </w:rPr>
              <w:t xml:space="preserve"> </w:t>
            </w:r>
            <w:proofErr w:type="spellStart"/>
            <w:r w:rsidR="00EE3EB5" w:rsidRPr="00986B56">
              <w:rPr>
                <w:rFonts w:ascii="Times New Roman" w:hAnsi="Times New Roman"/>
                <w:sz w:val="20"/>
                <w:szCs w:val="20"/>
              </w:rPr>
              <w:t>Milosavljević</w:t>
            </w:r>
            <w:proofErr w:type="spellEnd"/>
          </w:p>
        </w:tc>
      </w:tr>
      <w:tr w:rsidR="00DC4EC7" w:rsidRPr="00986B56" w14:paraId="19F42A6D"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6EAA6511" w14:textId="628A0ADA" w:rsidR="00DC4EC7" w:rsidRPr="00986B56" w:rsidRDefault="00986B56" w:rsidP="00297092">
            <w:pPr>
              <w:tabs>
                <w:tab w:val="left" w:pos="567"/>
              </w:tabs>
              <w:spacing w:after="60"/>
              <w:jc w:val="both"/>
              <w:rPr>
                <w:rFonts w:ascii="Times New Roman" w:hAnsi="Times New Roman"/>
                <w:sz w:val="20"/>
                <w:szCs w:val="20"/>
              </w:rPr>
            </w:pPr>
            <w:r w:rsidRPr="00986B56">
              <w:rPr>
                <w:rFonts w:ascii="Times New Roman" w:hAnsi="Times New Roman"/>
                <w:b/>
                <w:bCs/>
                <w:sz w:val="20"/>
                <w:szCs w:val="20"/>
              </w:rPr>
              <w:t xml:space="preserve">Status of the course: </w:t>
            </w:r>
            <w:r w:rsidR="009A5706">
              <w:rPr>
                <w:rFonts w:ascii="Times New Roman" w:hAnsi="Times New Roman"/>
                <w:sz w:val="20"/>
                <w:szCs w:val="20"/>
              </w:rPr>
              <w:t>C</w:t>
            </w:r>
            <w:r w:rsidR="00EE3EB5" w:rsidRPr="00986B56">
              <w:rPr>
                <w:rFonts w:ascii="Times New Roman" w:hAnsi="Times New Roman"/>
                <w:sz w:val="20"/>
                <w:szCs w:val="20"/>
              </w:rPr>
              <w:t>ompulsory</w:t>
            </w:r>
            <w:r w:rsidR="00EE3EB5" w:rsidRPr="00986B56">
              <w:rPr>
                <w:rFonts w:ascii="Times New Roman" w:hAnsi="Times New Roman"/>
                <w:b/>
                <w:bCs/>
                <w:sz w:val="20"/>
                <w:szCs w:val="20"/>
              </w:rPr>
              <w:t xml:space="preserve"> </w:t>
            </w:r>
          </w:p>
        </w:tc>
      </w:tr>
      <w:tr w:rsidR="00DC4EC7" w:rsidRPr="00986B56" w14:paraId="3CB77470"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470C44C8" w14:textId="78E1F91F" w:rsidR="00DC4EC7" w:rsidRPr="00986B56" w:rsidRDefault="00986B56" w:rsidP="00297092">
            <w:pPr>
              <w:tabs>
                <w:tab w:val="left" w:pos="567"/>
              </w:tabs>
              <w:spacing w:after="60"/>
              <w:jc w:val="both"/>
              <w:rPr>
                <w:rFonts w:ascii="Times New Roman" w:hAnsi="Times New Roman"/>
                <w:sz w:val="20"/>
                <w:szCs w:val="20"/>
              </w:rPr>
            </w:pPr>
            <w:r w:rsidRPr="00986B56">
              <w:rPr>
                <w:rFonts w:ascii="Times New Roman" w:hAnsi="Times New Roman"/>
                <w:b/>
                <w:bCs/>
                <w:sz w:val="20"/>
                <w:szCs w:val="20"/>
              </w:rPr>
              <w:t xml:space="preserve">Number of ECTS: </w:t>
            </w:r>
            <w:r w:rsidR="008B7313">
              <w:rPr>
                <w:rFonts w:ascii="Times New Roman" w:hAnsi="Times New Roman"/>
                <w:sz w:val="20"/>
                <w:szCs w:val="20"/>
              </w:rPr>
              <w:t>4</w:t>
            </w:r>
          </w:p>
        </w:tc>
      </w:tr>
      <w:tr w:rsidR="00DC4EC7" w:rsidRPr="00986B56" w14:paraId="03B039F1"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64FAC6F9" w14:textId="0FD869AF" w:rsidR="00DC4EC7" w:rsidRPr="00986B56" w:rsidRDefault="00986B56" w:rsidP="00297092">
            <w:pPr>
              <w:tabs>
                <w:tab w:val="left" w:pos="567"/>
              </w:tabs>
              <w:spacing w:after="60"/>
              <w:jc w:val="both"/>
              <w:rPr>
                <w:rFonts w:ascii="Times New Roman" w:hAnsi="Times New Roman"/>
                <w:sz w:val="20"/>
                <w:szCs w:val="20"/>
              </w:rPr>
            </w:pPr>
            <w:r w:rsidRPr="00986B56">
              <w:rPr>
                <w:rFonts w:ascii="Times New Roman" w:hAnsi="Times New Roman"/>
                <w:b/>
                <w:bCs/>
                <w:sz w:val="20"/>
                <w:szCs w:val="20"/>
              </w:rPr>
              <w:t xml:space="preserve">Eligibility: </w:t>
            </w:r>
            <w:r w:rsidR="00837261" w:rsidRPr="00986B56">
              <w:rPr>
                <w:rFonts w:ascii="Times New Roman" w:hAnsi="Times New Roman"/>
                <w:b/>
                <w:bCs/>
                <w:sz w:val="20"/>
                <w:szCs w:val="20"/>
              </w:rPr>
              <w:t>*</w:t>
            </w:r>
          </w:p>
        </w:tc>
      </w:tr>
      <w:tr w:rsidR="00DC4EC7" w:rsidRPr="00986B56" w14:paraId="643D9C5B"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76FDB619" w14:textId="77777777" w:rsidR="00986B56"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bCs/>
                <w:sz w:val="20"/>
                <w:szCs w:val="20"/>
              </w:rPr>
              <w:t>Aim of the course</w:t>
            </w:r>
          </w:p>
          <w:p w14:paraId="6C78756C" w14:textId="7E3FE5AC" w:rsidR="00DC4EC7"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The course has the aim of surveying the most important theoretical approaches and empirical findings with regard to the EU integration process and its contemporary enlargement efforts. The course should enable students not only to acquire knowledge but also to critically reflect on the complex relations between the EU and its Member States, on one side, and the region of South-Eastern Europe (SEE), on the other, mainly covered by the EU’s contemporary enlargement policy.</w:t>
            </w:r>
          </w:p>
        </w:tc>
      </w:tr>
      <w:tr w:rsidR="00DC4EC7" w:rsidRPr="00986B56" w14:paraId="0FC03902"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6859F906" w14:textId="77777777" w:rsidR="00986B56"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bCs/>
                <w:sz w:val="20"/>
                <w:szCs w:val="20"/>
              </w:rPr>
              <w:t>Outcome of the course</w:t>
            </w:r>
          </w:p>
          <w:p w14:paraId="21994386" w14:textId="16E17F84" w:rsidR="00DC4EC7"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Students will gain knowledge about the development and present state of the EU institutions and policy-making processes. Special focus will be on the evolution of the EU enlargement policy and other EU’s approaches towards particular countries in SEE. Students will learn not only about the empirical state of affairs but also about the main theoretical approaches in researching the EU enlargement and EU foreign policies and its relations with SEE. In this way, students will be acquainted with different ways of understanding the main drivers of EU integration and its relations with non-members. This combination of empirical and theoretical approach should equip them with skills necessary for their own further autonomous research, for critical thinking and engaging in informed discussions about these complex relations. Students will have the opportunity to identify theoretical gaps in understanding the EU’s complex relations with its SEE neighbours.</w:t>
            </w:r>
          </w:p>
        </w:tc>
      </w:tr>
      <w:tr w:rsidR="00DC4EC7" w:rsidRPr="00986B56" w14:paraId="52EE9551"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4DAC6A27" w14:textId="77777777" w:rsidR="00986B56"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bCs/>
                <w:sz w:val="20"/>
                <w:szCs w:val="20"/>
              </w:rPr>
              <w:t>Content of the course</w:t>
            </w:r>
          </w:p>
          <w:p w14:paraId="5CCBC075" w14:textId="77777777" w:rsidR="00986B56" w:rsidRPr="00986B56" w:rsidRDefault="00986B56" w:rsidP="00986B56">
            <w:pPr>
              <w:tabs>
                <w:tab w:val="left" w:pos="567"/>
              </w:tabs>
              <w:jc w:val="both"/>
              <w:rPr>
                <w:rFonts w:ascii="Times New Roman" w:hAnsi="Times New Roman"/>
                <w:b/>
                <w:bCs/>
                <w:sz w:val="20"/>
                <w:szCs w:val="20"/>
                <w:lang w:val="en-US"/>
              </w:rPr>
            </w:pPr>
            <w:r w:rsidRPr="00986B56">
              <w:rPr>
                <w:rFonts w:ascii="Times New Roman" w:hAnsi="Times New Roman"/>
                <w:b/>
                <w:bCs/>
                <w:sz w:val="20"/>
                <w:szCs w:val="20"/>
                <w:lang w:val="en-US"/>
              </w:rPr>
              <w:t>Theoretical classes</w:t>
            </w:r>
          </w:p>
          <w:p w14:paraId="707914A8" w14:textId="1A0C0FF2" w:rsidR="00DC4EC7"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EU institutions and policies: before and after the Lisbon treaty; Nature of the EU: major theoretical approaches; EU enlargement: rationale, history, results; Eastern enlargement in theoretical perspective; Specifics of the eastern enlargement (2004-7); problems of the EU enlargement policy in SEE and the EU integration capacity; </w:t>
            </w:r>
          </w:p>
          <w:p w14:paraId="690FB127" w14:textId="77777777" w:rsidR="00986B56" w:rsidRPr="00986B56" w:rsidRDefault="00986B56" w:rsidP="00986B56">
            <w:pPr>
              <w:tabs>
                <w:tab w:val="left" w:pos="567"/>
              </w:tabs>
              <w:jc w:val="both"/>
              <w:rPr>
                <w:rFonts w:ascii="Times New Roman" w:hAnsi="Times New Roman"/>
                <w:b/>
                <w:bCs/>
                <w:sz w:val="20"/>
                <w:szCs w:val="20"/>
                <w:lang w:val="sr-Latn-RS"/>
              </w:rPr>
            </w:pPr>
            <w:r w:rsidRPr="00986B56">
              <w:rPr>
                <w:rFonts w:ascii="Times New Roman" w:hAnsi="Times New Roman"/>
                <w:b/>
                <w:bCs/>
                <w:sz w:val="20"/>
                <w:szCs w:val="20"/>
                <w:lang w:val="ru-RU"/>
              </w:rPr>
              <w:t>Practi</w:t>
            </w:r>
            <w:r w:rsidRPr="00986B56">
              <w:rPr>
                <w:rFonts w:ascii="Times New Roman" w:hAnsi="Times New Roman"/>
                <w:b/>
                <w:bCs/>
                <w:sz w:val="20"/>
                <w:szCs w:val="20"/>
                <w:lang w:val="sr-Latn-RS"/>
              </w:rPr>
              <w:t>cal classes</w:t>
            </w:r>
          </w:p>
          <w:p w14:paraId="608B1697" w14:textId="5BCC642B" w:rsidR="00DC4EC7"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EU enlargement and the Balkans; The question of EU enlargement limits (the case of Turkey and others); The EU as a transformative power in SEE; The future of EU relations with SEE: enlargement or alternative options; State of affairs and prospects for enhancing the regional cooperation in SEE.</w:t>
            </w:r>
          </w:p>
        </w:tc>
      </w:tr>
      <w:tr w:rsidR="00DC4EC7" w:rsidRPr="00986B56" w14:paraId="0858400F"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0155AAE1" w14:textId="77777777" w:rsidR="00986B56" w:rsidRPr="00986B56" w:rsidRDefault="00986B56"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Literature </w:t>
            </w:r>
          </w:p>
          <w:p w14:paraId="46153E5D" w14:textId="64252DA9"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Compulsory:</w:t>
            </w:r>
          </w:p>
          <w:p w14:paraId="44EFB626"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H. Wallace and W. Wallace, Policy-Making in the European Union, OUP, 2015, pp. 3-90.</w:t>
            </w:r>
          </w:p>
          <w:p w14:paraId="3B2BAAB1"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Ulrich </w:t>
            </w:r>
            <w:proofErr w:type="spellStart"/>
            <w:r w:rsidRPr="00986B56">
              <w:rPr>
                <w:rFonts w:ascii="Times New Roman" w:hAnsi="Times New Roman"/>
                <w:sz w:val="20"/>
                <w:szCs w:val="20"/>
              </w:rPr>
              <w:t>Sedelmeier</w:t>
            </w:r>
            <w:proofErr w:type="spellEnd"/>
            <w:r w:rsidRPr="00986B56">
              <w:rPr>
                <w:rFonts w:ascii="Times New Roman" w:hAnsi="Times New Roman"/>
                <w:sz w:val="20"/>
                <w:szCs w:val="20"/>
              </w:rPr>
              <w:t>, “Eastern Enlargement” in H. Wallace and W. Wallace, Policy-Making in the European Union, OUP, 2015, 401-428.</w:t>
            </w:r>
          </w:p>
          <w:p w14:paraId="15402ECE" w14:textId="4FB0296A"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Jovan </w:t>
            </w:r>
            <w:proofErr w:type="spellStart"/>
            <w:r w:rsidRPr="00986B56">
              <w:rPr>
                <w:rFonts w:ascii="Times New Roman" w:hAnsi="Times New Roman"/>
                <w:sz w:val="20"/>
                <w:szCs w:val="20"/>
              </w:rPr>
              <w:t>Teokarević</w:t>
            </w:r>
            <w:proofErr w:type="spellEnd"/>
            <w:r w:rsidRPr="00986B56">
              <w:rPr>
                <w:rFonts w:ascii="Times New Roman" w:hAnsi="Times New Roman"/>
                <w:sz w:val="20"/>
                <w:szCs w:val="20"/>
              </w:rPr>
              <w:t xml:space="preserve">, Western Balkans Between Deep Crises and Uncertain Perspectives, </w:t>
            </w:r>
            <w:proofErr w:type="spellStart"/>
            <w:r w:rsidRPr="00986B56">
              <w:rPr>
                <w:rFonts w:ascii="Times New Roman" w:hAnsi="Times New Roman"/>
                <w:sz w:val="20"/>
                <w:szCs w:val="20"/>
              </w:rPr>
              <w:t>Čigoja</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štampa</w:t>
            </w:r>
            <w:proofErr w:type="spellEnd"/>
            <w:r w:rsidRPr="00986B56">
              <w:rPr>
                <w:rFonts w:ascii="Times New Roman" w:hAnsi="Times New Roman"/>
                <w:sz w:val="20"/>
                <w:szCs w:val="20"/>
              </w:rPr>
              <w:t>, 2019, pp. 9-25.</w:t>
            </w:r>
          </w:p>
          <w:p w14:paraId="5A505AE5"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Milada</w:t>
            </w:r>
            <w:proofErr w:type="spellEnd"/>
            <w:r w:rsidRPr="00986B56">
              <w:rPr>
                <w:rFonts w:ascii="Times New Roman" w:hAnsi="Times New Roman"/>
                <w:sz w:val="20"/>
                <w:szCs w:val="20"/>
              </w:rPr>
              <w:t xml:space="preserve"> Anna </w:t>
            </w:r>
            <w:proofErr w:type="spellStart"/>
            <w:r w:rsidRPr="00986B56">
              <w:rPr>
                <w:rFonts w:ascii="Times New Roman" w:hAnsi="Times New Roman"/>
                <w:sz w:val="20"/>
                <w:szCs w:val="20"/>
              </w:rPr>
              <w:t>Vachudova</w:t>
            </w:r>
            <w:proofErr w:type="spellEnd"/>
            <w:r w:rsidRPr="00986B56">
              <w:rPr>
                <w:rFonts w:ascii="Times New Roman" w:hAnsi="Times New Roman"/>
                <w:sz w:val="20"/>
                <w:szCs w:val="20"/>
              </w:rPr>
              <w:t>, “EU Leverage and National Interests in the Balkans: The Puzzles of Enlargement Ten Years On,” Journal of Common Market Studies, Vol. 52, No. 1, 2014.</w:t>
            </w:r>
          </w:p>
          <w:p w14:paraId="57BBD6A9"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Frank </w:t>
            </w:r>
            <w:proofErr w:type="spellStart"/>
            <w:r w:rsidRPr="00986B56">
              <w:rPr>
                <w:rFonts w:ascii="Times New Roman" w:hAnsi="Times New Roman"/>
                <w:sz w:val="20"/>
                <w:szCs w:val="20"/>
              </w:rPr>
              <w:t>Schimmelfennig</w:t>
            </w:r>
            <w:proofErr w:type="spellEnd"/>
            <w:r w:rsidRPr="00986B56">
              <w:rPr>
                <w:rFonts w:ascii="Times New Roman" w:hAnsi="Times New Roman"/>
                <w:sz w:val="20"/>
                <w:szCs w:val="20"/>
              </w:rPr>
              <w:t xml:space="preserve"> &amp; Ulrich </w:t>
            </w:r>
            <w:proofErr w:type="spellStart"/>
            <w:r w:rsidRPr="00986B56">
              <w:rPr>
                <w:rFonts w:ascii="Times New Roman" w:hAnsi="Times New Roman"/>
                <w:sz w:val="20"/>
                <w:szCs w:val="20"/>
              </w:rPr>
              <w:t>Sedelmeier</w:t>
            </w:r>
            <w:proofErr w:type="spellEnd"/>
            <w:r w:rsidRPr="00986B56">
              <w:rPr>
                <w:rFonts w:ascii="Times New Roman" w:hAnsi="Times New Roman"/>
                <w:sz w:val="20"/>
                <w:szCs w:val="20"/>
              </w:rPr>
              <w:t xml:space="preserve"> (2020) The Europeanization of Eastern Europe: the external incentives model revisited, Journal of European Public Policy, 27:6, 814-833, DOI: 10.1080/13501763.2019.1617333</w:t>
            </w:r>
          </w:p>
          <w:p w14:paraId="5C26F892"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BÖRZEL, T. A.; DIMITROVA, A.; SCHIMMELFENNIG, F. European Union enlargement and integration capacity: concepts, findings, and policy implications. Journal of European Public Policy, [s. l.], v. 24, n. 2, p. 157–176, 2017. DOI 10.1080/13501763.2016.1265576.</w:t>
            </w:r>
          </w:p>
          <w:p w14:paraId="5E1AD772"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Rachel A. Epstein, Wade Jacoby, “Eastern Enlargement Ten Years On: Transcending the East-West Divide?”, Journal of Common Market Studies, 52, 1, 2014, pp. 1-16.</w:t>
            </w:r>
          </w:p>
          <w:p w14:paraId="7813CE3E" w14:textId="4E891E3A"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John </w:t>
            </w:r>
            <w:proofErr w:type="spellStart"/>
            <w:r w:rsidRPr="00986B56">
              <w:rPr>
                <w:rFonts w:ascii="Times New Roman" w:hAnsi="Times New Roman"/>
                <w:sz w:val="20"/>
                <w:szCs w:val="20"/>
              </w:rPr>
              <w:t>O’Brennan</w:t>
            </w:r>
            <w:proofErr w:type="spellEnd"/>
            <w:r w:rsidRPr="00986B56">
              <w:rPr>
                <w:rFonts w:ascii="Times New Roman" w:hAnsi="Times New Roman"/>
                <w:sz w:val="20"/>
                <w:szCs w:val="20"/>
              </w:rPr>
              <w:t>, “’On the Slow Train to Nowhere’. The EU, “Enlargement Fatigue” and the Western Balkans”, European Foreign Affairs Review, Vol. 19, No. 2, 2014, pp. 221-242.</w:t>
            </w:r>
          </w:p>
          <w:p w14:paraId="08A00E71" w14:textId="19E81900"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Optional:</w:t>
            </w:r>
          </w:p>
          <w:p w14:paraId="1B1A87F1"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Frank </w:t>
            </w:r>
            <w:proofErr w:type="spellStart"/>
            <w:r w:rsidRPr="00986B56">
              <w:rPr>
                <w:rFonts w:ascii="Times New Roman" w:hAnsi="Times New Roman"/>
                <w:sz w:val="20"/>
                <w:szCs w:val="20"/>
              </w:rPr>
              <w:t>Schimmelfennig</w:t>
            </w:r>
            <w:proofErr w:type="spellEnd"/>
            <w:r w:rsidRPr="00986B56">
              <w:rPr>
                <w:rFonts w:ascii="Times New Roman" w:hAnsi="Times New Roman"/>
                <w:sz w:val="20"/>
                <w:szCs w:val="20"/>
              </w:rPr>
              <w:t xml:space="preserve"> (2001). “The Community Trap: Liberal Norms, Rhetorical Action, and the Eastern Enlargement of the European Union, International Organization 55, 1, 2001, pp. 47-80.</w:t>
            </w:r>
          </w:p>
          <w:p w14:paraId="63DDE82A"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lastRenderedPageBreak/>
              <w:t>Milada</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Vachudova</w:t>
            </w:r>
            <w:proofErr w:type="spellEnd"/>
            <w:r w:rsidRPr="00986B56">
              <w:rPr>
                <w:rFonts w:ascii="Times New Roman" w:hAnsi="Times New Roman"/>
                <w:sz w:val="20"/>
                <w:szCs w:val="20"/>
              </w:rPr>
              <w:t>, “Historical Institutionalism and the EU’s Eastern Enlargement,” in Kathleen McNamara and Sophie Meunier eds., Making History: European Integration and Institutional Change at Fifty. The State of the European Union Volume 8, Oxford: Oxford University Press, 2007: 105-122.</w:t>
            </w:r>
          </w:p>
          <w:p w14:paraId="53207543"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Jovan </w:t>
            </w:r>
            <w:proofErr w:type="spellStart"/>
            <w:r w:rsidRPr="00986B56">
              <w:rPr>
                <w:rFonts w:ascii="Times New Roman" w:hAnsi="Times New Roman"/>
                <w:sz w:val="20"/>
                <w:szCs w:val="20"/>
              </w:rPr>
              <w:t>Teokarević</w:t>
            </w:r>
            <w:proofErr w:type="spellEnd"/>
            <w:r w:rsidRPr="00986B56">
              <w:rPr>
                <w:rFonts w:ascii="Times New Roman" w:hAnsi="Times New Roman"/>
                <w:sz w:val="20"/>
                <w:szCs w:val="20"/>
              </w:rPr>
              <w:t>, “Western Balkans’ EU Integration: How to Overcome the Remaining Obstacles”, European University Institute, Florence, 2010.</w:t>
            </w:r>
          </w:p>
          <w:p w14:paraId="1F3F7BA9"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Gergana </w:t>
            </w:r>
            <w:proofErr w:type="spellStart"/>
            <w:r w:rsidRPr="00986B56">
              <w:rPr>
                <w:rFonts w:ascii="Times New Roman" w:hAnsi="Times New Roman"/>
                <w:sz w:val="20"/>
                <w:szCs w:val="20"/>
              </w:rPr>
              <w:t>Noutcheva</w:t>
            </w:r>
            <w:proofErr w:type="spellEnd"/>
            <w:r w:rsidRPr="00986B56">
              <w:rPr>
                <w:rFonts w:ascii="Times New Roman" w:hAnsi="Times New Roman"/>
                <w:sz w:val="20"/>
                <w:szCs w:val="20"/>
              </w:rPr>
              <w:t>, “Fake, Partial and Imposed Compliance: The Limits of the EU’s Normative Power in the Western Balkans”, Journal of European Public Policy, 16:7 October 2009.</w:t>
            </w:r>
          </w:p>
          <w:p w14:paraId="33FA06EA" w14:textId="6177C095"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Antoaneta</w:t>
            </w:r>
            <w:proofErr w:type="spellEnd"/>
            <w:r w:rsidRPr="00986B56">
              <w:rPr>
                <w:rFonts w:ascii="Times New Roman" w:hAnsi="Times New Roman"/>
                <w:sz w:val="20"/>
                <w:szCs w:val="20"/>
              </w:rPr>
              <w:t xml:space="preserve"> Dimitrova &amp; </w:t>
            </w:r>
            <w:proofErr w:type="spellStart"/>
            <w:r w:rsidRPr="00986B56">
              <w:rPr>
                <w:rFonts w:ascii="Times New Roman" w:hAnsi="Times New Roman"/>
                <w:sz w:val="20"/>
                <w:szCs w:val="20"/>
              </w:rPr>
              <w:t>Elitsa</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Kortenska</w:t>
            </w:r>
            <w:proofErr w:type="spellEnd"/>
            <w:r w:rsidRPr="00986B56">
              <w:rPr>
                <w:rFonts w:ascii="Times New Roman" w:hAnsi="Times New Roman"/>
                <w:sz w:val="20"/>
                <w:szCs w:val="20"/>
              </w:rPr>
              <w:t xml:space="preserve"> (2017) What do citizens want? And why does it matter? Discourses among citizens as opportunities and constraints for EU enlargement, Journal of European Public Policy, 24:2, 259-277, DOI:10.1080/13501763.2016.1264082.</w:t>
            </w:r>
          </w:p>
          <w:p w14:paraId="23DECEC5"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Ivana </w:t>
            </w:r>
            <w:proofErr w:type="spellStart"/>
            <w:r w:rsidRPr="00986B56">
              <w:rPr>
                <w:rFonts w:ascii="Times New Roman" w:hAnsi="Times New Roman"/>
                <w:sz w:val="20"/>
                <w:szCs w:val="20"/>
              </w:rPr>
              <w:t>Radić</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Milosavljević</w:t>
            </w:r>
            <w:proofErr w:type="spellEnd"/>
            <w:r w:rsidRPr="00986B56">
              <w:rPr>
                <w:rFonts w:ascii="Times New Roman" w:hAnsi="Times New Roman"/>
                <w:sz w:val="20"/>
                <w:szCs w:val="20"/>
              </w:rPr>
              <w:t xml:space="preserve">, “Change in the EU accession approach: A case for a flexible membership”, EU Frontier Policy Brief No. 19 – </w:t>
            </w:r>
            <w:proofErr w:type="spellStart"/>
            <w:r w:rsidRPr="00986B56">
              <w:rPr>
                <w:rFonts w:ascii="Times New Roman" w:hAnsi="Times New Roman"/>
                <w:sz w:val="20"/>
                <w:szCs w:val="20"/>
              </w:rPr>
              <w:t>Center</w:t>
            </w:r>
            <w:proofErr w:type="spellEnd"/>
            <w:r w:rsidRPr="00986B56">
              <w:rPr>
                <w:rFonts w:ascii="Times New Roman" w:hAnsi="Times New Roman"/>
                <w:sz w:val="20"/>
                <w:szCs w:val="20"/>
              </w:rPr>
              <w:t xml:space="preserve"> for European </w:t>
            </w:r>
            <w:proofErr w:type="spellStart"/>
            <w:r w:rsidRPr="00986B56">
              <w:rPr>
                <w:rFonts w:ascii="Times New Roman" w:hAnsi="Times New Roman"/>
                <w:sz w:val="20"/>
                <w:szCs w:val="20"/>
              </w:rPr>
              <w:t>Neighborhood</w:t>
            </w:r>
            <w:proofErr w:type="spellEnd"/>
            <w:r w:rsidRPr="00986B56">
              <w:rPr>
                <w:rFonts w:ascii="Times New Roman" w:hAnsi="Times New Roman"/>
                <w:sz w:val="20"/>
                <w:szCs w:val="20"/>
              </w:rPr>
              <w:t xml:space="preserve"> Studies, 2017.</w:t>
            </w:r>
          </w:p>
          <w:p w14:paraId="35AF0FDE"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Advisory Council on International Affairs, Differentiated Integration. Different Routes to EU Cooperation, 2015.</w:t>
            </w:r>
          </w:p>
          <w:p w14:paraId="18008940"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Andrew Duff, “Case for an Associate Membership of the European Union”, 2013.</w:t>
            </w:r>
          </w:p>
          <w:p w14:paraId="679E084E"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Eviola</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Prifti</w:t>
            </w:r>
            <w:proofErr w:type="spellEnd"/>
            <w:r w:rsidRPr="00986B56">
              <w:rPr>
                <w:rFonts w:ascii="Times New Roman" w:hAnsi="Times New Roman"/>
                <w:sz w:val="20"/>
                <w:szCs w:val="20"/>
              </w:rPr>
              <w:t>, The European Future of the Western Balkans. Thessaloniki @10 (2003-2013), EU Institute for Security Studies, Paris, 2013.</w:t>
            </w:r>
          </w:p>
          <w:p w14:paraId="34B1910C"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James Ker-Lindsay, </w:t>
            </w:r>
            <w:proofErr w:type="spellStart"/>
            <w:r w:rsidRPr="00986B56">
              <w:rPr>
                <w:rFonts w:ascii="Times New Roman" w:hAnsi="Times New Roman"/>
                <w:sz w:val="20"/>
                <w:szCs w:val="20"/>
              </w:rPr>
              <w:t>Ioannis</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Armakolas</w:t>
            </w:r>
            <w:proofErr w:type="spellEnd"/>
            <w:r w:rsidRPr="00986B56">
              <w:rPr>
                <w:rFonts w:ascii="Times New Roman" w:hAnsi="Times New Roman"/>
                <w:sz w:val="20"/>
                <w:szCs w:val="20"/>
              </w:rPr>
              <w:t xml:space="preserve">, Rosa Balfour &amp; Corina </w:t>
            </w:r>
            <w:proofErr w:type="spellStart"/>
            <w:r w:rsidRPr="00986B56">
              <w:rPr>
                <w:rFonts w:ascii="Times New Roman" w:hAnsi="Times New Roman"/>
                <w:sz w:val="20"/>
                <w:szCs w:val="20"/>
              </w:rPr>
              <w:t>Stratulat</w:t>
            </w:r>
            <w:proofErr w:type="spellEnd"/>
            <w:r w:rsidRPr="00986B56">
              <w:rPr>
                <w:rFonts w:ascii="Times New Roman" w:hAnsi="Times New Roman"/>
                <w:sz w:val="20"/>
                <w:szCs w:val="20"/>
              </w:rPr>
              <w:t xml:space="preserve"> (2017), "The national politics of EU enlargement in the Western Balkans", Southeast European and Black Sea Studies, 17:4, 511-522, DOI: 10.1080/14683857.2017.1424398</w:t>
            </w:r>
          </w:p>
          <w:p w14:paraId="1B1644BD"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Ulrich </w:t>
            </w:r>
            <w:proofErr w:type="spellStart"/>
            <w:r w:rsidRPr="00986B56">
              <w:rPr>
                <w:rFonts w:ascii="Times New Roman" w:hAnsi="Times New Roman"/>
                <w:sz w:val="20"/>
                <w:szCs w:val="20"/>
              </w:rPr>
              <w:t>Sedelmeier</w:t>
            </w:r>
            <w:proofErr w:type="spellEnd"/>
            <w:r w:rsidRPr="00986B56">
              <w:rPr>
                <w:rFonts w:ascii="Times New Roman" w:hAnsi="Times New Roman"/>
                <w:sz w:val="20"/>
                <w:szCs w:val="20"/>
              </w:rPr>
              <w:t>, “Europeanization in new member and candidate states.” Living Reviews in European Governance 6 (1), 2011.</w:t>
            </w:r>
          </w:p>
          <w:p w14:paraId="4057D629"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John </w:t>
            </w:r>
            <w:proofErr w:type="spellStart"/>
            <w:r w:rsidRPr="00986B56">
              <w:rPr>
                <w:rFonts w:ascii="Times New Roman" w:hAnsi="Times New Roman"/>
                <w:sz w:val="20"/>
                <w:szCs w:val="20"/>
              </w:rPr>
              <w:t>O’Brennan</w:t>
            </w:r>
            <w:proofErr w:type="spellEnd"/>
            <w:r w:rsidRPr="00986B56">
              <w:rPr>
                <w:rFonts w:ascii="Times New Roman" w:hAnsi="Times New Roman"/>
                <w:sz w:val="20"/>
                <w:szCs w:val="20"/>
              </w:rPr>
              <w:t>, The Eastern Enlargement of the European Union, Routledge, 2006.</w:t>
            </w:r>
          </w:p>
          <w:p w14:paraId="04BFB206"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Milada</w:t>
            </w:r>
            <w:proofErr w:type="spellEnd"/>
            <w:r w:rsidRPr="00986B56">
              <w:rPr>
                <w:rFonts w:ascii="Times New Roman" w:hAnsi="Times New Roman"/>
                <w:sz w:val="20"/>
                <w:szCs w:val="20"/>
              </w:rPr>
              <w:t xml:space="preserve"> Anna </w:t>
            </w:r>
            <w:proofErr w:type="spellStart"/>
            <w:r w:rsidRPr="00986B56">
              <w:rPr>
                <w:rFonts w:ascii="Times New Roman" w:hAnsi="Times New Roman"/>
                <w:sz w:val="20"/>
                <w:szCs w:val="20"/>
              </w:rPr>
              <w:t>Vachudova</w:t>
            </w:r>
            <w:proofErr w:type="spellEnd"/>
            <w:r w:rsidRPr="00986B56">
              <w:rPr>
                <w:rFonts w:ascii="Times New Roman" w:hAnsi="Times New Roman"/>
                <w:sz w:val="20"/>
                <w:szCs w:val="20"/>
              </w:rPr>
              <w:t>, Europe Undivided. Democracy, Leverage and Integration after Communism, OUP, 2005.</w:t>
            </w:r>
          </w:p>
          <w:p w14:paraId="491D3C76"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Frank </w:t>
            </w:r>
            <w:proofErr w:type="spellStart"/>
            <w:r w:rsidRPr="00986B56">
              <w:rPr>
                <w:rFonts w:ascii="Times New Roman" w:hAnsi="Times New Roman"/>
                <w:sz w:val="20"/>
                <w:szCs w:val="20"/>
              </w:rPr>
              <w:t>Schimmelfennig</w:t>
            </w:r>
            <w:proofErr w:type="spellEnd"/>
            <w:r w:rsidRPr="00986B56">
              <w:rPr>
                <w:rFonts w:ascii="Times New Roman" w:hAnsi="Times New Roman"/>
                <w:sz w:val="20"/>
                <w:szCs w:val="20"/>
              </w:rPr>
              <w:t xml:space="preserve"> and Ulrich </w:t>
            </w:r>
            <w:proofErr w:type="spellStart"/>
            <w:r w:rsidRPr="00986B56">
              <w:rPr>
                <w:rFonts w:ascii="Times New Roman" w:hAnsi="Times New Roman"/>
                <w:sz w:val="20"/>
                <w:szCs w:val="20"/>
              </w:rPr>
              <w:t>Sedelmeier</w:t>
            </w:r>
            <w:proofErr w:type="spellEnd"/>
            <w:r w:rsidRPr="00986B56">
              <w:rPr>
                <w:rFonts w:ascii="Times New Roman" w:hAnsi="Times New Roman"/>
                <w:sz w:val="20"/>
                <w:szCs w:val="20"/>
              </w:rPr>
              <w:t xml:space="preserve"> (eds), The Politics of European Union Enlargement. Theoretical Approaches, Routledge, 2005.</w:t>
            </w:r>
          </w:p>
          <w:p w14:paraId="01A5621F"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Othon</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Anastasakis</w:t>
            </w:r>
            <w:proofErr w:type="spellEnd"/>
            <w:r w:rsidRPr="00986B56">
              <w:rPr>
                <w:rFonts w:ascii="Times New Roman" w:hAnsi="Times New Roman"/>
                <w:sz w:val="20"/>
                <w:szCs w:val="20"/>
              </w:rPr>
              <w:t>, “The EU’s Political Conditionality in the Western Balkans: Towards a more Pragmatic Approach”, Southeast European and Black See Studies, Vol. 8, No. 4, December 2008.</w:t>
            </w:r>
          </w:p>
          <w:p w14:paraId="40B1FE47"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Dusko</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Lopandić</w:t>
            </w:r>
            <w:proofErr w:type="spellEnd"/>
            <w:r w:rsidRPr="00986B56">
              <w:rPr>
                <w:rFonts w:ascii="Times New Roman" w:hAnsi="Times New Roman"/>
                <w:sz w:val="20"/>
                <w:szCs w:val="20"/>
              </w:rPr>
              <w:t xml:space="preserve">, Jasminka </w:t>
            </w:r>
            <w:proofErr w:type="spellStart"/>
            <w:r w:rsidRPr="00986B56">
              <w:rPr>
                <w:rFonts w:ascii="Times New Roman" w:hAnsi="Times New Roman"/>
                <w:sz w:val="20"/>
                <w:szCs w:val="20"/>
              </w:rPr>
              <w:t>Kronja</w:t>
            </w:r>
            <w:proofErr w:type="spellEnd"/>
            <w:r w:rsidRPr="00986B56">
              <w:rPr>
                <w:rFonts w:ascii="Times New Roman" w:hAnsi="Times New Roman"/>
                <w:sz w:val="20"/>
                <w:szCs w:val="20"/>
              </w:rPr>
              <w:t>, Regional Cooperation in Southeast Europe and the European Integration Process – Searching for Necessary Complementarity, European Movement in Serbia, Friedrich Ebert Stiftung, 2012.</w:t>
            </w:r>
          </w:p>
          <w:p w14:paraId="0774BA6C" w14:textId="77777777" w:rsidR="00EE3EB5" w:rsidRPr="00986B56" w:rsidRDefault="00EE3EB5" w:rsidP="00986B56">
            <w:pPr>
              <w:tabs>
                <w:tab w:val="left" w:pos="567"/>
              </w:tabs>
              <w:jc w:val="both"/>
              <w:rPr>
                <w:rFonts w:ascii="Times New Roman" w:hAnsi="Times New Roman"/>
                <w:sz w:val="20"/>
                <w:szCs w:val="20"/>
              </w:rPr>
            </w:pPr>
            <w:proofErr w:type="spellStart"/>
            <w:r w:rsidRPr="00986B56">
              <w:rPr>
                <w:rFonts w:ascii="Times New Roman" w:hAnsi="Times New Roman"/>
                <w:sz w:val="20"/>
                <w:szCs w:val="20"/>
              </w:rPr>
              <w:t>Dimitar</w:t>
            </w:r>
            <w:proofErr w:type="spellEnd"/>
            <w:r w:rsidRPr="00986B56">
              <w:rPr>
                <w:rFonts w:ascii="Times New Roman" w:hAnsi="Times New Roman"/>
                <w:sz w:val="20"/>
                <w:szCs w:val="20"/>
              </w:rPr>
              <w:t xml:space="preserve"> </w:t>
            </w:r>
            <w:proofErr w:type="spellStart"/>
            <w:r w:rsidRPr="00986B56">
              <w:rPr>
                <w:rFonts w:ascii="Times New Roman" w:hAnsi="Times New Roman"/>
                <w:sz w:val="20"/>
                <w:szCs w:val="20"/>
              </w:rPr>
              <w:t>Bechev</w:t>
            </w:r>
            <w:proofErr w:type="spellEnd"/>
            <w:r w:rsidRPr="00986B56">
              <w:rPr>
                <w:rFonts w:ascii="Times New Roman" w:hAnsi="Times New Roman"/>
                <w:sz w:val="20"/>
                <w:szCs w:val="20"/>
              </w:rPr>
              <w:t>, Constructing South East Europe - The Politics of Balkan Regional Cooperation, Palgrave Macmillan, 2011.</w:t>
            </w:r>
          </w:p>
          <w:p w14:paraId="24206AE6"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Communication from the Commission to the European Parliament, the Council, the European Economic and Social Committee and the Committee of the Regions: Enhancing the accession process - A credible EU perspective for the Western Balkans.</w:t>
            </w:r>
          </w:p>
          <w:p w14:paraId="0AB1ACBC"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Antje Wiener, and Thomas Diez, European Integration Theory, Oxford University Press, 2009.</w:t>
            </w:r>
          </w:p>
          <w:p w14:paraId="5D3C5E18"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Haas, E.B., The Uniting of Europe: Political, Social and Economic forces, 1950-7, Stevens, London, 1958. or University of Notre Dame Press, 2004. </w:t>
            </w:r>
          </w:p>
          <w:p w14:paraId="6FF2A897"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Andrew </w:t>
            </w:r>
            <w:proofErr w:type="spellStart"/>
            <w:r w:rsidRPr="00986B56">
              <w:rPr>
                <w:rFonts w:ascii="Times New Roman" w:hAnsi="Times New Roman"/>
                <w:sz w:val="20"/>
                <w:szCs w:val="20"/>
              </w:rPr>
              <w:t>Moravcsik</w:t>
            </w:r>
            <w:proofErr w:type="spellEnd"/>
            <w:r w:rsidRPr="00986B56">
              <w:rPr>
                <w:rFonts w:ascii="Times New Roman" w:hAnsi="Times New Roman"/>
                <w:sz w:val="20"/>
                <w:szCs w:val="20"/>
              </w:rPr>
              <w:t xml:space="preserve">, “Preferences and Power in the European Community: A Liberal </w:t>
            </w:r>
            <w:proofErr w:type="spellStart"/>
            <w:r w:rsidRPr="00986B56">
              <w:rPr>
                <w:rFonts w:ascii="Times New Roman" w:hAnsi="Times New Roman"/>
                <w:sz w:val="20"/>
                <w:szCs w:val="20"/>
              </w:rPr>
              <w:t>Intergovernmentalist</w:t>
            </w:r>
            <w:proofErr w:type="spellEnd"/>
            <w:r w:rsidRPr="00986B56">
              <w:rPr>
                <w:rFonts w:ascii="Times New Roman" w:hAnsi="Times New Roman"/>
                <w:sz w:val="20"/>
                <w:szCs w:val="20"/>
              </w:rPr>
              <w:t xml:space="preserve"> Approach”, Journal of Common Market Studies, Vol.31, no.4., 1993.</w:t>
            </w:r>
          </w:p>
          <w:p w14:paraId="4B3A9BF2"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 </w:t>
            </w:r>
            <w:proofErr w:type="spellStart"/>
            <w:r w:rsidRPr="00986B56">
              <w:rPr>
                <w:rFonts w:ascii="Times New Roman" w:hAnsi="Times New Roman"/>
                <w:sz w:val="20"/>
                <w:szCs w:val="20"/>
              </w:rPr>
              <w:t>Jupille</w:t>
            </w:r>
            <w:proofErr w:type="spellEnd"/>
            <w:r w:rsidRPr="00986B56">
              <w:rPr>
                <w:rFonts w:ascii="Times New Roman" w:hAnsi="Times New Roman"/>
                <w:sz w:val="20"/>
                <w:szCs w:val="20"/>
              </w:rPr>
              <w:t xml:space="preserve"> and J. A. </w:t>
            </w:r>
            <w:proofErr w:type="spellStart"/>
            <w:r w:rsidRPr="00986B56">
              <w:rPr>
                <w:rFonts w:ascii="Times New Roman" w:hAnsi="Times New Roman"/>
                <w:sz w:val="20"/>
                <w:szCs w:val="20"/>
              </w:rPr>
              <w:t>Caporaso</w:t>
            </w:r>
            <w:proofErr w:type="spellEnd"/>
            <w:r w:rsidRPr="00986B56">
              <w:rPr>
                <w:rFonts w:ascii="Times New Roman" w:hAnsi="Times New Roman"/>
                <w:sz w:val="20"/>
                <w:szCs w:val="20"/>
              </w:rPr>
              <w:t>, “Institutionalism and The European Union: Beyond International Relations and Comparative Politics”, Annual Review of Political Science, 2, 1999, pp.429–44.</w:t>
            </w:r>
          </w:p>
          <w:p w14:paraId="227D6CC1" w14:textId="77777777" w:rsidR="00EE3EB5"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Jeffrey T. </w:t>
            </w:r>
            <w:proofErr w:type="spellStart"/>
            <w:r w:rsidRPr="00986B56">
              <w:rPr>
                <w:rFonts w:ascii="Times New Roman" w:hAnsi="Times New Roman"/>
                <w:sz w:val="20"/>
                <w:szCs w:val="20"/>
              </w:rPr>
              <w:t>Checkel</w:t>
            </w:r>
            <w:proofErr w:type="spellEnd"/>
            <w:r w:rsidRPr="00986B56">
              <w:rPr>
                <w:rFonts w:ascii="Times New Roman" w:hAnsi="Times New Roman"/>
                <w:sz w:val="20"/>
                <w:szCs w:val="20"/>
              </w:rPr>
              <w:t>, Constructivist approaches to European integration, Arena Centre for European Studies, University of Oslo, Working Paper No. 06, February 2006.</w:t>
            </w:r>
          </w:p>
          <w:p w14:paraId="4AD5D4F9" w14:textId="0128DA5B" w:rsidR="00DC4EC7"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 xml:space="preserve">Andreas Bieler, „The struggle over EU enlargement: a historical materialist analysis of European </w:t>
            </w:r>
            <w:proofErr w:type="gramStart"/>
            <w:r w:rsidRPr="00986B56">
              <w:rPr>
                <w:rFonts w:ascii="Times New Roman" w:hAnsi="Times New Roman"/>
                <w:sz w:val="20"/>
                <w:szCs w:val="20"/>
              </w:rPr>
              <w:t>integration“</w:t>
            </w:r>
            <w:proofErr w:type="gramEnd"/>
            <w:r w:rsidRPr="00986B56">
              <w:rPr>
                <w:rFonts w:ascii="Times New Roman" w:hAnsi="Times New Roman"/>
                <w:sz w:val="20"/>
                <w:szCs w:val="20"/>
              </w:rPr>
              <w:t>, Journal of European Public Policy, 9(4), 2002, pp. 575–597.</w:t>
            </w:r>
          </w:p>
        </w:tc>
      </w:tr>
      <w:tr w:rsidR="00DC4EC7" w:rsidRPr="00986B56" w14:paraId="11DE3F73" w14:textId="77777777" w:rsidTr="00986B56">
        <w:trPr>
          <w:trHeight w:val="22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3C9E43A2" w14:textId="69BFDE62" w:rsidR="00DC4EC7"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bCs/>
                <w:sz w:val="20"/>
                <w:szCs w:val="20"/>
              </w:rPr>
              <w:lastRenderedPageBreak/>
              <w:t>Number of classes of active teaching</w:t>
            </w:r>
          </w:p>
        </w:tc>
        <w:tc>
          <w:tcPr>
            <w:tcW w:w="2672" w:type="dxa"/>
            <w:gridSpan w:val="2"/>
            <w:tcBorders>
              <w:top w:val="single" w:sz="4" w:space="0" w:color="000000"/>
              <w:left w:val="single" w:sz="4" w:space="0" w:color="000000"/>
              <w:bottom w:val="single" w:sz="4" w:space="0" w:color="000000"/>
              <w:right w:val="single" w:sz="4" w:space="0" w:color="000000"/>
            </w:tcBorders>
            <w:vAlign w:val="center"/>
          </w:tcPr>
          <w:p w14:paraId="1E9582EF" w14:textId="09852DF0" w:rsidR="00DC4EC7"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sz w:val="20"/>
                <w:szCs w:val="20"/>
              </w:rPr>
              <w:t xml:space="preserve">Theoretical classes: </w:t>
            </w:r>
            <w:r w:rsidRPr="00986B56">
              <w:rPr>
                <w:rFonts w:ascii="Times New Roman" w:hAnsi="Times New Roman"/>
                <w:bCs/>
                <w:sz w:val="20"/>
                <w:szCs w:val="20"/>
              </w:rPr>
              <w:t>30</w:t>
            </w:r>
          </w:p>
        </w:tc>
        <w:tc>
          <w:tcPr>
            <w:tcW w:w="3267" w:type="dxa"/>
            <w:gridSpan w:val="2"/>
            <w:tcBorders>
              <w:top w:val="single" w:sz="4" w:space="0" w:color="000000"/>
              <w:left w:val="single" w:sz="4" w:space="0" w:color="000000"/>
              <w:bottom w:val="single" w:sz="4" w:space="0" w:color="000000"/>
              <w:right w:val="single" w:sz="4" w:space="0" w:color="000000"/>
            </w:tcBorders>
            <w:vAlign w:val="center"/>
          </w:tcPr>
          <w:p w14:paraId="68CCBF92" w14:textId="474B46FF" w:rsidR="00DC4EC7"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sz w:val="20"/>
                <w:szCs w:val="20"/>
              </w:rPr>
              <w:t xml:space="preserve">Practical classes: </w:t>
            </w:r>
            <w:r w:rsidR="008B7313">
              <w:rPr>
                <w:rFonts w:ascii="Times New Roman" w:hAnsi="Times New Roman"/>
                <w:bCs/>
                <w:sz w:val="20"/>
                <w:szCs w:val="20"/>
              </w:rPr>
              <w:t>/</w:t>
            </w:r>
          </w:p>
        </w:tc>
      </w:tr>
      <w:tr w:rsidR="00DC4EC7" w:rsidRPr="00986B56" w14:paraId="28D1F065"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61105DA0" w14:textId="77777777" w:rsidR="00986B56"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bCs/>
                <w:sz w:val="20"/>
                <w:szCs w:val="20"/>
              </w:rPr>
              <w:t>Teaching methods</w:t>
            </w:r>
          </w:p>
          <w:p w14:paraId="72C91FB2" w14:textId="4A52AF00" w:rsidR="00DC4EC7" w:rsidRPr="00986B56" w:rsidRDefault="00EE3EB5" w:rsidP="00986B56">
            <w:pPr>
              <w:tabs>
                <w:tab w:val="left" w:pos="567"/>
              </w:tabs>
              <w:jc w:val="both"/>
              <w:rPr>
                <w:rFonts w:ascii="Times New Roman" w:hAnsi="Times New Roman"/>
                <w:sz w:val="20"/>
                <w:szCs w:val="20"/>
              </w:rPr>
            </w:pPr>
            <w:r w:rsidRPr="00986B56">
              <w:rPr>
                <w:rFonts w:ascii="Times New Roman" w:hAnsi="Times New Roman"/>
                <w:sz w:val="20"/>
                <w:szCs w:val="20"/>
              </w:rPr>
              <w:t>Lectures, presentations, group consultations, seminars, discussions</w:t>
            </w:r>
          </w:p>
        </w:tc>
      </w:tr>
      <w:tr w:rsidR="00DC4EC7" w:rsidRPr="00986B56" w14:paraId="31556D28" w14:textId="77777777">
        <w:trPr>
          <w:trHeight w:val="227"/>
          <w:jc w:val="center"/>
        </w:trPr>
        <w:tc>
          <w:tcPr>
            <w:tcW w:w="9478" w:type="dxa"/>
            <w:gridSpan w:val="5"/>
            <w:tcBorders>
              <w:top w:val="single" w:sz="4" w:space="0" w:color="000000"/>
              <w:left w:val="single" w:sz="4" w:space="0" w:color="000000"/>
              <w:bottom w:val="single" w:sz="4" w:space="0" w:color="000000"/>
              <w:right w:val="single" w:sz="4" w:space="0" w:color="000000"/>
            </w:tcBorders>
            <w:vAlign w:val="center"/>
          </w:tcPr>
          <w:p w14:paraId="19000891" w14:textId="74A13C9F" w:rsidR="00DC4EC7"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bCs/>
                <w:sz w:val="20"/>
                <w:szCs w:val="20"/>
              </w:rPr>
              <w:t>Assessment of knowledge (maximum No. of points: 100)</w:t>
            </w:r>
          </w:p>
        </w:tc>
      </w:tr>
      <w:tr w:rsidR="00DC4EC7" w:rsidRPr="00986B56" w14:paraId="434D9179" w14:textId="77777777" w:rsidTr="00986B56">
        <w:trPr>
          <w:trHeight w:val="22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35496023" w14:textId="19A45F0E" w:rsidR="00DC4EC7" w:rsidRPr="00986B56" w:rsidRDefault="00986B56" w:rsidP="00986B56">
            <w:pPr>
              <w:tabs>
                <w:tab w:val="left" w:pos="567"/>
              </w:tabs>
              <w:jc w:val="both"/>
              <w:rPr>
                <w:rFonts w:ascii="Times New Roman" w:hAnsi="Times New Roman"/>
                <w:b/>
                <w:iCs/>
                <w:sz w:val="20"/>
                <w:szCs w:val="20"/>
              </w:rPr>
            </w:pPr>
            <w:r w:rsidRPr="00986B56">
              <w:rPr>
                <w:rFonts w:ascii="Times New Roman" w:hAnsi="Times New Roman"/>
                <w:b/>
                <w:iCs/>
                <w:sz w:val="20"/>
                <w:szCs w:val="20"/>
              </w:rPr>
              <w:t>Pre-examination commitments</w:t>
            </w:r>
          </w:p>
        </w:tc>
        <w:tc>
          <w:tcPr>
            <w:tcW w:w="1513" w:type="dxa"/>
            <w:tcBorders>
              <w:top w:val="single" w:sz="4" w:space="0" w:color="000000"/>
              <w:left w:val="single" w:sz="4" w:space="0" w:color="000000"/>
              <w:bottom w:val="single" w:sz="4" w:space="0" w:color="000000"/>
              <w:right w:val="single" w:sz="4" w:space="0" w:color="000000"/>
            </w:tcBorders>
            <w:vAlign w:val="center"/>
          </w:tcPr>
          <w:p w14:paraId="42CF909C" w14:textId="726CA1D7" w:rsidR="00DC4EC7" w:rsidRPr="00986B56" w:rsidRDefault="00986B56" w:rsidP="00986B56">
            <w:pPr>
              <w:tabs>
                <w:tab w:val="left" w:pos="567"/>
              </w:tabs>
              <w:jc w:val="both"/>
              <w:rPr>
                <w:rFonts w:ascii="Times New Roman" w:hAnsi="Times New Roman"/>
                <w:sz w:val="20"/>
                <w:szCs w:val="20"/>
              </w:rPr>
            </w:pPr>
            <w:r w:rsidRPr="00986B56">
              <w:rPr>
                <w:rFonts w:ascii="Times New Roman" w:hAnsi="Times New Roman"/>
                <w:sz w:val="20"/>
                <w:szCs w:val="20"/>
              </w:rPr>
              <w:t>Points</w:t>
            </w: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2FEB9BD2" w14:textId="671871FA" w:rsidR="00DC4EC7"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b/>
                <w:iCs/>
                <w:sz w:val="20"/>
                <w:szCs w:val="20"/>
              </w:rPr>
              <w:t>Final examination</w:t>
            </w:r>
          </w:p>
        </w:tc>
        <w:tc>
          <w:tcPr>
            <w:tcW w:w="1247" w:type="dxa"/>
            <w:tcBorders>
              <w:top w:val="single" w:sz="4" w:space="0" w:color="000000"/>
              <w:left w:val="single" w:sz="4" w:space="0" w:color="000000"/>
              <w:bottom w:val="single" w:sz="4" w:space="0" w:color="000000"/>
              <w:right w:val="single" w:sz="4" w:space="0" w:color="000000"/>
            </w:tcBorders>
            <w:vAlign w:val="center"/>
          </w:tcPr>
          <w:p w14:paraId="7CC59762" w14:textId="714A9B2C" w:rsidR="00DC4EC7" w:rsidRPr="00986B56" w:rsidRDefault="00986B56" w:rsidP="00986B56">
            <w:pPr>
              <w:tabs>
                <w:tab w:val="left" w:pos="567"/>
              </w:tabs>
              <w:jc w:val="both"/>
              <w:rPr>
                <w:rFonts w:ascii="Times New Roman" w:hAnsi="Times New Roman"/>
                <w:b/>
                <w:bCs/>
                <w:sz w:val="20"/>
                <w:szCs w:val="20"/>
              </w:rPr>
            </w:pPr>
            <w:r w:rsidRPr="00986B56">
              <w:rPr>
                <w:rFonts w:ascii="Times New Roman" w:hAnsi="Times New Roman"/>
                <w:sz w:val="20"/>
                <w:szCs w:val="20"/>
              </w:rPr>
              <w:t>Points</w:t>
            </w:r>
          </w:p>
        </w:tc>
      </w:tr>
      <w:tr w:rsidR="00DC4EC7" w:rsidRPr="00986B56" w14:paraId="6FA60063" w14:textId="77777777" w:rsidTr="00986B56">
        <w:trPr>
          <w:trHeight w:val="22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11D2A700" w14:textId="22ED96B2" w:rsidR="00DC4EC7" w:rsidRPr="00986B56" w:rsidRDefault="00986B56" w:rsidP="00986B56">
            <w:pPr>
              <w:tabs>
                <w:tab w:val="left" w:pos="567"/>
              </w:tabs>
              <w:jc w:val="both"/>
              <w:rPr>
                <w:rFonts w:ascii="Times New Roman" w:hAnsi="Times New Roman"/>
                <w:i/>
                <w:iCs/>
                <w:sz w:val="20"/>
                <w:szCs w:val="20"/>
              </w:rPr>
            </w:pPr>
            <w:r w:rsidRPr="00986B56">
              <w:rPr>
                <w:rFonts w:ascii="Times New Roman" w:hAnsi="Times New Roman"/>
                <w:sz w:val="20"/>
                <w:szCs w:val="20"/>
              </w:rPr>
              <w:t>Activity during the lectures</w:t>
            </w:r>
          </w:p>
        </w:tc>
        <w:tc>
          <w:tcPr>
            <w:tcW w:w="1513" w:type="dxa"/>
            <w:tcBorders>
              <w:top w:val="single" w:sz="4" w:space="0" w:color="000000"/>
              <w:left w:val="single" w:sz="4" w:space="0" w:color="000000"/>
              <w:bottom w:val="single" w:sz="4" w:space="0" w:color="000000"/>
              <w:right w:val="single" w:sz="4" w:space="0" w:color="000000"/>
            </w:tcBorders>
            <w:vAlign w:val="center"/>
          </w:tcPr>
          <w:p w14:paraId="595D6EE2" w14:textId="61DFBFA0" w:rsidR="00DC4EC7" w:rsidRPr="00986B56" w:rsidRDefault="00EE3EB5" w:rsidP="00986B56">
            <w:pPr>
              <w:tabs>
                <w:tab w:val="left" w:pos="567"/>
              </w:tabs>
              <w:snapToGrid w:val="0"/>
              <w:jc w:val="both"/>
              <w:rPr>
                <w:rFonts w:ascii="Times New Roman" w:hAnsi="Times New Roman"/>
                <w:b/>
                <w:bCs/>
                <w:sz w:val="20"/>
                <w:szCs w:val="20"/>
              </w:rPr>
            </w:pPr>
            <w:r w:rsidRPr="00986B56">
              <w:rPr>
                <w:rFonts w:ascii="Times New Roman" w:hAnsi="Times New Roman"/>
                <w:b/>
                <w:bCs/>
                <w:sz w:val="20"/>
                <w:szCs w:val="20"/>
              </w:rPr>
              <w:t>10</w:t>
            </w: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7073C3AB" w14:textId="477FA5F0" w:rsidR="00DC4EC7" w:rsidRPr="00986B56" w:rsidRDefault="00986B56" w:rsidP="00986B56">
            <w:pPr>
              <w:tabs>
                <w:tab w:val="left" w:pos="567"/>
              </w:tabs>
              <w:jc w:val="both"/>
              <w:rPr>
                <w:rFonts w:ascii="Times New Roman" w:hAnsi="Times New Roman"/>
                <w:i/>
                <w:iCs/>
                <w:sz w:val="20"/>
                <w:szCs w:val="20"/>
              </w:rPr>
            </w:pPr>
            <w:r w:rsidRPr="00986B56">
              <w:rPr>
                <w:rFonts w:ascii="Times New Roman" w:hAnsi="Times New Roman"/>
                <w:sz w:val="20"/>
                <w:szCs w:val="20"/>
              </w:rPr>
              <w:t>Written examination</w:t>
            </w:r>
          </w:p>
        </w:tc>
        <w:tc>
          <w:tcPr>
            <w:tcW w:w="1247" w:type="dxa"/>
            <w:tcBorders>
              <w:top w:val="single" w:sz="4" w:space="0" w:color="000000"/>
              <w:left w:val="single" w:sz="4" w:space="0" w:color="000000"/>
              <w:bottom w:val="single" w:sz="4" w:space="0" w:color="000000"/>
              <w:right w:val="single" w:sz="4" w:space="0" w:color="000000"/>
            </w:tcBorders>
            <w:vAlign w:val="center"/>
          </w:tcPr>
          <w:p w14:paraId="242662B8" w14:textId="7C828623" w:rsidR="00DC4EC7" w:rsidRPr="00986B56" w:rsidRDefault="00EE3EB5" w:rsidP="00986B56">
            <w:pPr>
              <w:tabs>
                <w:tab w:val="left" w:pos="567"/>
              </w:tabs>
              <w:snapToGrid w:val="0"/>
              <w:jc w:val="both"/>
              <w:rPr>
                <w:rFonts w:ascii="Times New Roman" w:hAnsi="Times New Roman"/>
                <w:b/>
                <w:bCs/>
                <w:sz w:val="20"/>
                <w:szCs w:val="20"/>
              </w:rPr>
            </w:pPr>
            <w:r w:rsidRPr="00986B56">
              <w:rPr>
                <w:rFonts w:ascii="Times New Roman" w:hAnsi="Times New Roman"/>
                <w:b/>
                <w:bCs/>
                <w:sz w:val="20"/>
                <w:szCs w:val="20"/>
              </w:rPr>
              <w:t>60</w:t>
            </w:r>
          </w:p>
        </w:tc>
      </w:tr>
      <w:tr w:rsidR="00DC4EC7" w:rsidRPr="00986B56" w14:paraId="65F55547" w14:textId="77777777" w:rsidTr="00986B56">
        <w:trPr>
          <w:trHeight w:val="22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E69C41C" w14:textId="218FE9BA" w:rsidR="00DC4EC7" w:rsidRPr="00986B56" w:rsidRDefault="00986B56" w:rsidP="00986B56">
            <w:pPr>
              <w:tabs>
                <w:tab w:val="left" w:pos="567"/>
              </w:tabs>
              <w:jc w:val="both"/>
              <w:rPr>
                <w:rFonts w:ascii="Times New Roman" w:hAnsi="Times New Roman"/>
                <w:i/>
                <w:iCs/>
                <w:sz w:val="20"/>
                <w:szCs w:val="20"/>
              </w:rPr>
            </w:pPr>
            <w:r w:rsidRPr="00986B56">
              <w:rPr>
                <w:rFonts w:ascii="Times New Roman" w:hAnsi="Times New Roman"/>
                <w:sz w:val="20"/>
                <w:szCs w:val="20"/>
              </w:rPr>
              <w:t>Practical teaching</w:t>
            </w:r>
          </w:p>
        </w:tc>
        <w:tc>
          <w:tcPr>
            <w:tcW w:w="1513" w:type="dxa"/>
            <w:tcBorders>
              <w:top w:val="single" w:sz="4" w:space="0" w:color="000000"/>
              <w:left w:val="single" w:sz="4" w:space="0" w:color="000000"/>
              <w:bottom w:val="single" w:sz="4" w:space="0" w:color="000000"/>
              <w:right w:val="single" w:sz="4" w:space="0" w:color="000000"/>
            </w:tcBorders>
            <w:vAlign w:val="center"/>
          </w:tcPr>
          <w:p w14:paraId="4A95409C" w14:textId="77777777" w:rsidR="00DC4EC7" w:rsidRPr="00986B56" w:rsidRDefault="00DC4EC7" w:rsidP="00986B56">
            <w:pPr>
              <w:tabs>
                <w:tab w:val="left" w:pos="567"/>
              </w:tabs>
              <w:snapToGrid w:val="0"/>
              <w:jc w:val="both"/>
              <w:rPr>
                <w:rFonts w:ascii="Times New Roman" w:hAnsi="Times New Roman"/>
                <w:b/>
                <w:bCs/>
                <w:sz w:val="20"/>
                <w:szCs w:val="20"/>
              </w:rPr>
            </w:pP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5ADC83BA" w14:textId="3190180A" w:rsidR="00DC4EC7" w:rsidRPr="00986B56" w:rsidRDefault="00986B56" w:rsidP="00986B56">
            <w:pPr>
              <w:tabs>
                <w:tab w:val="left" w:pos="567"/>
              </w:tabs>
              <w:jc w:val="both"/>
              <w:rPr>
                <w:rFonts w:ascii="Times New Roman" w:hAnsi="Times New Roman"/>
                <w:i/>
                <w:iCs/>
                <w:sz w:val="20"/>
                <w:szCs w:val="20"/>
              </w:rPr>
            </w:pPr>
            <w:r w:rsidRPr="00986B56">
              <w:rPr>
                <w:rFonts w:ascii="Times New Roman" w:hAnsi="Times New Roman"/>
                <w:sz w:val="20"/>
                <w:szCs w:val="20"/>
              </w:rPr>
              <w:t>Oral examination</w:t>
            </w:r>
          </w:p>
        </w:tc>
        <w:tc>
          <w:tcPr>
            <w:tcW w:w="1247" w:type="dxa"/>
            <w:tcBorders>
              <w:top w:val="single" w:sz="4" w:space="0" w:color="000000"/>
              <w:left w:val="single" w:sz="4" w:space="0" w:color="000000"/>
              <w:bottom w:val="single" w:sz="4" w:space="0" w:color="000000"/>
              <w:right w:val="single" w:sz="4" w:space="0" w:color="000000"/>
            </w:tcBorders>
            <w:vAlign w:val="center"/>
          </w:tcPr>
          <w:p w14:paraId="58B6555A" w14:textId="77777777" w:rsidR="00DC4EC7" w:rsidRPr="00986B56" w:rsidRDefault="00DC4EC7" w:rsidP="00986B56">
            <w:pPr>
              <w:tabs>
                <w:tab w:val="left" w:pos="567"/>
              </w:tabs>
              <w:snapToGrid w:val="0"/>
              <w:jc w:val="both"/>
              <w:rPr>
                <w:rFonts w:ascii="Times New Roman" w:hAnsi="Times New Roman"/>
                <w:i/>
                <w:iCs/>
                <w:sz w:val="20"/>
                <w:szCs w:val="20"/>
              </w:rPr>
            </w:pPr>
          </w:p>
        </w:tc>
      </w:tr>
      <w:tr w:rsidR="00DC4EC7" w:rsidRPr="00986B56" w14:paraId="24DCBCB2" w14:textId="77777777" w:rsidTr="00986B56">
        <w:trPr>
          <w:trHeight w:val="22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FD5811A" w14:textId="5B92FA64" w:rsidR="00DC4EC7" w:rsidRPr="00986B56" w:rsidRDefault="00986B56" w:rsidP="00986B56">
            <w:pPr>
              <w:tabs>
                <w:tab w:val="left" w:pos="567"/>
              </w:tabs>
              <w:jc w:val="both"/>
              <w:rPr>
                <w:rFonts w:ascii="Times New Roman" w:hAnsi="Times New Roman"/>
                <w:i/>
                <w:iCs/>
                <w:sz w:val="20"/>
                <w:szCs w:val="20"/>
              </w:rPr>
            </w:pPr>
            <w:r w:rsidRPr="00986B56">
              <w:rPr>
                <w:rFonts w:ascii="Times New Roman" w:hAnsi="Times New Roman"/>
                <w:sz w:val="20"/>
                <w:szCs w:val="20"/>
              </w:rPr>
              <w:t>Colloquium(a)</w:t>
            </w:r>
          </w:p>
        </w:tc>
        <w:tc>
          <w:tcPr>
            <w:tcW w:w="1513" w:type="dxa"/>
            <w:tcBorders>
              <w:top w:val="single" w:sz="4" w:space="0" w:color="000000"/>
              <w:left w:val="single" w:sz="4" w:space="0" w:color="000000"/>
              <w:bottom w:val="single" w:sz="4" w:space="0" w:color="000000"/>
              <w:right w:val="single" w:sz="4" w:space="0" w:color="000000"/>
            </w:tcBorders>
            <w:vAlign w:val="center"/>
          </w:tcPr>
          <w:p w14:paraId="0CC68309" w14:textId="77777777" w:rsidR="00DC4EC7" w:rsidRPr="00986B56" w:rsidRDefault="00DC4EC7" w:rsidP="00986B56">
            <w:pPr>
              <w:tabs>
                <w:tab w:val="left" w:pos="567"/>
              </w:tabs>
              <w:snapToGrid w:val="0"/>
              <w:jc w:val="both"/>
              <w:rPr>
                <w:rFonts w:ascii="Times New Roman" w:hAnsi="Times New Roman"/>
                <w:b/>
                <w:bCs/>
                <w:sz w:val="20"/>
                <w:szCs w:val="20"/>
              </w:rPr>
            </w:pP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369DB9C6" w14:textId="77777777" w:rsidR="00DC4EC7" w:rsidRPr="00986B56" w:rsidRDefault="00274734" w:rsidP="00986B56">
            <w:pPr>
              <w:tabs>
                <w:tab w:val="left" w:pos="567"/>
              </w:tabs>
              <w:jc w:val="both"/>
              <w:rPr>
                <w:rFonts w:ascii="Times New Roman" w:hAnsi="Times New Roman"/>
                <w:i/>
                <w:iCs/>
                <w:sz w:val="20"/>
                <w:szCs w:val="20"/>
              </w:rPr>
            </w:pPr>
            <w:r w:rsidRPr="00986B56">
              <w:rPr>
                <w:rFonts w:ascii="Times New Roman" w:hAnsi="Times New Roman"/>
                <w:i/>
                <w:iCs/>
                <w:sz w:val="20"/>
                <w:szCs w:val="20"/>
              </w:rPr>
              <w:t>..........</w:t>
            </w:r>
          </w:p>
        </w:tc>
        <w:tc>
          <w:tcPr>
            <w:tcW w:w="1247" w:type="dxa"/>
            <w:tcBorders>
              <w:top w:val="single" w:sz="4" w:space="0" w:color="000000"/>
              <w:left w:val="single" w:sz="4" w:space="0" w:color="000000"/>
              <w:bottom w:val="single" w:sz="4" w:space="0" w:color="000000"/>
              <w:right w:val="single" w:sz="4" w:space="0" w:color="000000"/>
            </w:tcBorders>
            <w:vAlign w:val="center"/>
          </w:tcPr>
          <w:p w14:paraId="5BECC209" w14:textId="77777777" w:rsidR="00DC4EC7" w:rsidRPr="00986B56" w:rsidRDefault="00DC4EC7" w:rsidP="00986B56">
            <w:pPr>
              <w:tabs>
                <w:tab w:val="left" w:pos="567"/>
              </w:tabs>
              <w:snapToGrid w:val="0"/>
              <w:jc w:val="both"/>
              <w:rPr>
                <w:rFonts w:ascii="Times New Roman" w:hAnsi="Times New Roman"/>
                <w:i/>
                <w:iCs/>
                <w:sz w:val="20"/>
                <w:szCs w:val="20"/>
              </w:rPr>
            </w:pPr>
          </w:p>
        </w:tc>
      </w:tr>
      <w:tr w:rsidR="00DC4EC7" w:rsidRPr="00986B56" w14:paraId="24E73241" w14:textId="77777777" w:rsidTr="00986B56">
        <w:trPr>
          <w:trHeight w:val="22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433FC1F2" w14:textId="2CD920B9" w:rsidR="00DC4EC7" w:rsidRPr="00986B56" w:rsidRDefault="00986B56" w:rsidP="00986B56">
            <w:pPr>
              <w:tabs>
                <w:tab w:val="left" w:pos="567"/>
              </w:tabs>
              <w:jc w:val="both"/>
              <w:rPr>
                <w:rFonts w:ascii="Times New Roman" w:hAnsi="Times New Roman"/>
                <w:sz w:val="20"/>
                <w:szCs w:val="20"/>
              </w:rPr>
            </w:pPr>
            <w:r w:rsidRPr="00986B56">
              <w:rPr>
                <w:rFonts w:ascii="Times New Roman" w:hAnsi="Times New Roman"/>
                <w:sz w:val="20"/>
                <w:szCs w:val="20"/>
              </w:rPr>
              <w:t>Seminar paper</w:t>
            </w:r>
          </w:p>
        </w:tc>
        <w:tc>
          <w:tcPr>
            <w:tcW w:w="1513" w:type="dxa"/>
            <w:tcBorders>
              <w:top w:val="single" w:sz="4" w:space="0" w:color="000000"/>
              <w:left w:val="single" w:sz="4" w:space="0" w:color="000000"/>
              <w:bottom w:val="single" w:sz="4" w:space="0" w:color="000000"/>
              <w:right w:val="single" w:sz="4" w:space="0" w:color="000000"/>
            </w:tcBorders>
            <w:vAlign w:val="center"/>
          </w:tcPr>
          <w:p w14:paraId="00002D1F" w14:textId="3BECED78" w:rsidR="00DC4EC7" w:rsidRPr="00986B56" w:rsidRDefault="00EE3EB5" w:rsidP="00986B56">
            <w:pPr>
              <w:tabs>
                <w:tab w:val="left" w:pos="567"/>
              </w:tabs>
              <w:snapToGrid w:val="0"/>
              <w:jc w:val="both"/>
              <w:rPr>
                <w:rFonts w:ascii="Times New Roman" w:hAnsi="Times New Roman"/>
                <w:b/>
                <w:bCs/>
                <w:sz w:val="20"/>
                <w:szCs w:val="20"/>
              </w:rPr>
            </w:pPr>
            <w:r w:rsidRPr="00986B56">
              <w:rPr>
                <w:rFonts w:ascii="Times New Roman" w:hAnsi="Times New Roman"/>
                <w:b/>
                <w:bCs/>
                <w:sz w:val="20"/>
                <w:szCs w:val="20"/>
              </w:rPr>
              <w:t>30</w:t>
            </w: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21CFA753" w14:textId="77777777" w:rsidR="00DC4EC7" w:rsidRPr="00986B56" w:rsidRDefault="00DC4EC7" w:rsidP="00986B56">
            <w:pPr>
              <w:tabs>
                <w:tab w:val="left" w:pos="567"/>
              </w:tabs>
              <w:snapToGrid w:val="0"/>
              <w:jc w:val="both"/>
              <w:rPr>
                <w:rFonts w:ascii="Times New Roman" w:hAnsi="Times New Roman"/>
                <w:b/>
                <w:bCs/>
                <w:i/>
                <w:iCs/>
                <w:sz w:val="20"/>
                <w:szCs w:val="20"/>
              </w:rPr>
            </w:pPr>
          </w:p>
        </w:tc>
        <w:tc>
          <w:tcPr>
            <w:tcW w:w="1247" w:type="dxa"/>
            <w:tcBorders>
              <w:top w:val="single" w:sz="4" w:space="0" w:color="000000"/>
              <w:left w:val="single" w:sz="4" w:space="0" w:color="000000"/>
              <w:bottom w:val="single" w:sz="4" w:space="0" w:color="000000"/>
              <w:right w:val="single" w:sz="4" w:space="0" w:color="000000"/>
            </w:tcBorders>
            <w:vAlign w:val="center"/>
          </w:tcPr>
          <w:p w14:paraId="3652E350" w14:textId="77777777" w:rsidR="00DC4EC7" w:rsidRPr="00986B56" w:rsidRDefault="00DC4EC7" w:rsidP="00986B56">
            <w:pPr>
              <w:tabs>
                <w:tab w:val="left" w:pos="567"/>
              </w:tabs>
              <w:snapToGrid w:val="0"/>
              <w:jc w:val="both"/>
              <w:rPr>
                <w:rFonts w:ascii="Times New Roman" w:hAnsi="Times New Roman"/>
                <w:i/>
                <w:iCs/>
                <w:sz w:val="20"/>
                <w:szCs w:val="20"/>
              </w:rPr>
            </w:pPr>
          </w:p>
        </w:tc>
      </w:tr>
    </w:tbl>
    <w:p w14:paraId="23504763" w14:textId="77777777" w:rsidR="00DC4EC7" w:rsidRPr="00986B56" w:rsidRDefault="00DC4EC7" w:rsidP="00986B56">
      <w:pPr>
        <w:jc w:val="both"/>
        <w:rPr>
          <w:rFonts w:ascii="Times New Roman" w:hAnsi="Times New Roman"/>
          <w:sz w:val="20"/>
          <w:szCs w:val="20"/>
        </w:rPr>
      </w:pPr>
    </w:p>
    <w:sectPr w:rsidR="00DC4EC7" w:rsidRPr="00986B56">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MbIwMjMyMDM3NDRS0lEKTi0uzszPAykwqgUAK+6JSiwAAAA="/>
  </w:docVars>
  <w:rsids>
    <w:rsidRoot w:val="00DC4EC7"/>
    <w:rsid w:val="00274734"/>
    <w:rsid w:val="00297092"/>
    <w:rsid w:val="006367FC"/>
    <w:rsid w:val="007C7EEE"/>
    <w:rsid w:val="00837261"/>
    <w:rsid w:val="008B7313"/>
    <w:rsid w:val="00986B56"/>
    <w:rsid w:val="009A5706"/>
    <w:rsid w:val="00DC4EC7"/>
    <w:rsid w:val="00EE3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B99BC"/>
  <w15:docId w15:val="{123B18DB-E38F-4A91-B7B4-3A77A1EE4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ivana.sunderic</dc:creator>
  <dc:description/>
  <cp:lastModifiedBy>Danijela Pavlović</cp:lastModifiedBy>
  <cp:revision>9</cp:revision>
  <dcterms:created xsi:type="dcterms:W3CDTF">2021-03-18T12:07:00Z</dcterms:created>
  <dcterms:modified xsi:type="dcterms:W3CDTF">2021-06-21T16:59:00Z</dcterms:modified>
  <dc:language>en-GB</dc:language>
</cp:coreProperties>
</file>